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40"/>
        <w:jc w:val="center"/>
        <w:rPr>
          <w:rFonts w:ascii="Arial" w:hAnsi="Arial" w:cs="Arial"/>
          <w:b/>
          <w:b/>
          <w:sz w:val="24"/>
          <w:szCs w:val="24"/>
        </w:rPr>
      </w:pPr>
      <w:r>
        <w:rPr>
          <w:rFonts w:ascii="Arial" w:hAnsi="Arial"/>
          <w:b/>
          <w:sz w:val="24"/>
        </w:rPr>
        <w:t>CENTRO DENTAL DE UCSF CONSENTIMIENTO INFORMADO PARA LA APLICACIÓN DE FLÚOR DIAMINO DE PLATA</w:t>
      </w:r>
    </w:p>
    <w:p>
      <w:pPr>
        <w:pStyle w:val="Normal"/>
        <w:spacing w:lineRule="auto" w:line="240" w:before="0" w:after="120"/>
        <w:rPr>
          <w:rFonts w:ascii="Arial" w:hAnsi="Arial" w:cs="Arial"/>
          <w:b/>
          <w:b/>
          <w:sz w:val="24"/>
          <w:szCs w:val="24"/>
          <w:u w:val="single"/>
        </w:rPr>
      </w:pPr>
      <w:r>
        <w:rPr>
          <w:rFonts w:ascii="Arial" w:hAnsi="Arial"/>
          <w:b/>
          <w:sz w:val="24"/>
          <w:u w:val="single"/>
        </w:rPr>
        <w:t>Datos útiles:</w:t>
      </w:r>
    </w:p>
    <w:p>
      <w:pPr>
        <w:pStyle w:val="ListParagraph"/>
        <w:numPr>
          <w:ilvl w:val="0"/>
          <w:numId w:val="1"/>
        </w:numPr>
        <w:spacing w:lineRule="auto" w:line="240" w:before="0" w:after="120"/>
        <w:ind w:left="360" w:hanging="360"/>
        <w:rPr>
          <w:rFonts w:ascii="Arial" w:hAnsi="Arial" w:cs="Arial"/>
          <w:sz w:val="24"/>
          <w:szCs w:val="24"/>
        </w:rPr>
      </w:pPr>
      <w:r>
        <w:rPr>
          <w:rFonts w:ascii="Arial" w:hAnsi="Arial"/>
          <w:sz w:val="24"/>
        </w:rPr>
        <w:t>El flúor diamino de plata (SDF, por sus siglas en inglés) es un líquido antibiótico. Usamos este flúor en las caries para detenerlas. También lo usamos para tratar la sensibilidad dental. Es necesario aplicar este flúor cada 6 a 12 meses.</w:t>
      </w:r>
    </w:p>
    <w:p>
      <w:pPr>
        <w:pStyle w:val="ListParagraph"/>
        <w:numPr>
          <w:ilvl w:val="0"/>
          <w:numId w:val="1"/>
        </w:numPr>
        <w:spacing w:lineRule="auto" w:line="240" w:before="0" w:after="120"/>
        <w:ind w:left="360" w:hanging="360"/>
        <w:rPr>
          <w:rFonts w:ascii="Arial" w:hAnsi="Arial" w:cs="Arial"/>
          <w:sz w:val="24"/>
          <w:szCs w:val="24"/>
        </w:rPr>
      </w:pPr>
      <w:r>
        <w:rPr>
          <w:rFonts w:ascii="Arial" w:hAnsi="Arial"/>
          <w:sz w:val="24"/>
        </w:rPr>
        <w:t>Cómo se aplica: 1) Se seca la zona afectada, 2) Se coloca una pequeña cantidad de flúor en la zona afectada, 3) Se espera un minuto para que el flúor se seque, 4) Se enjuaga.</w:t>
      </w:r>
    </w:p>
    <w:p>
      <w:pPr>
        <w:pStyle w:val="ListParagraph"/>
        <w:numPr>
          <w:ilvl w:val="0"/>
          <w:numId w:val="1"/>
        </w:numPr>
        <w:spacing w:lineRule="auto" w:line="240" w:before="0" w:after="120"/>
        <w:ind w:left="360" w:hanging="360"/>
        <w:rPr>
          <w:rFonts w:ascii="Arial" w:hAnsi="Arial" w:cs="Arial"/>
          <w:sz w:val="24"/>
          <w:szCs w:val="24"/>
        </w:rPr>
      </w:pPr>
      <w:r>
        <w:rPr>
          <w:rFonts w:ascii="Arial" w:hAnsi="Arial"/>
          <w:b/>
          <w:sz w:val="24"/>
        </w:rPr>
        <w:t>El tratamiento con el flúor diamino de plata  no elimina la necesidad de empastes o coronas dentales para mejorar la función dental o la estética. Los procedimientos adicionales se cobrarán aparte.</w:t>
      </w:r>
    </w:p>
    <w:p>
      <w:pPr>
        <w:pStyle w:val="ListParagraph"/>
        <w:widowControl w:val="false"/>
        <w:numPr>
          <w:ilvl w:val="0"/>
          <w:numId w:val="1"/>
        </w:numPr>
        <w:spacing w:lineRule="auto" w:line="240" w:before="0" w:after="240"/>
        <w:ind w:left="360" w:hanging="360"/>
        <w:rPr>
          <w:rFonts w:ascii="Arial" w:hAnsi="Arial" w:cs="Arial"/>
          <w:b/>
          <w:b/>
          <w:sz w:val="24"/>
          <w:szCs w:val="24"/>
          <w:u w:val="single"/>
        </w:rPr>
      </w:pPr>
      <w:r>
        <w:drawing>
          <wp:anchor behindDoc="0" distT="0" distB="0" distL="114300" distR="0" simplePos="0" locked="0" layoutInCell="1" allowOverlap="1" relativeHeight="2">
            <wp:simplePos x="0" y="0"/>
            <wp:positionH relativeFrom="column">
              <wp:align>right</wp:align>
            </wp:positionH>
            <wp:positionV relativeFrom="paragraph">
              <wp:posOffset>1270</wp:posOffset>
            </wp:positionV>
            <wp:extent cx="2307590" cy="1153795"/>
            <wp:effectExtent l="0" t="0" r="0" b="0"/>
            <wp:wrapTight wrapText="bothSides">
              <wp:wrapPolygon edited="0">
                <wp:start x="-40" y="0"/>
                <wp:lineTo x="-40" y="21356"/>
                <wp:lineTo x="21394" y="21356"/>
                <wp:lineTo x="21394" y="0"/>
                <wp:lineTo x="-40" y="0"/>
              </wp:wrapPolygon>
            </wp:wrapTigh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307590" cy="1153795"/>
                    </a:xfrm>
                    <a:prstGeom prst="rect">
                      <a:avLst/>
                    </a:prstGeom>
                    <a:noFill/>
                    <a:ln w="9525">
                      <a:noFill/>
                      <a:miter lim="800000"/>
                      <a:headEnd/>
                      <a:tailEnd/>
                    </a:ln>
                  </pic:spPr>
                </pic:pic>
              </a:graphicData>
            </a:graphic>
          </wp:anchor>
        </w:drawing>
      </w:r>
      <w:r>
        <w:rPr>
          <w:rFonts w:ascii="Arial" w:hAnsi="Arial"/>
          <w:sz w:val="24"/>
        </w:rPr>
        <w:t>N</w:t>
      </w:r>
      <w:r>
        <w:rPr>
          <w:rFonts w:ascii="Arial" w:hAnsi="Arial"/>
          <w:sz w:val="24"/>
        </w:rPr>
        <w:t xml:space="preserve">o deberían aplicarme este flúor si: 1) Soy </w:t>
      </w:r>
      <w:r>
        <w:rPr>
          <w:rFonts w:ascii="Arial" w:hAnsi="Arial"/>
          <w:b/>
          <w:sz w:val="24"/>
        </w:rPr>
        <w:t>alérgico a la plata</w:t>
      </w:r>
      <w:r>
        <w:rPr>
          <w:rFonts w:ascii="Arial" w:hAnsi="Arial"/>
          <w:sz w:val="24"/>
        </w:rPr>
        <w:t>, o 2) tengo llagas dolorosas o zonas lastimadas en las encías (p. ej., gingivitis ulcerosa) o en algún lugar de la boca (p. ej., estomatitis).</w:t>
      </w:r>
    </w:p>
    <w:p>
      <w:pPr>
        <w:pStyle w:val="Normal"/>
        <w:spacing w:lineRule="auto" w:line="240" w:before="0" w:after="120"/>
        <w:rPr>
          <w:rFonts w:ascii="Arial" w:hAnsi="Arial" w:cs="Arial"/>
          <w:b/>
          <w:b/>
          <w:sz w:val="24"/>
          <w:szCs w:val="24"/>
          <w:u w:val="single"/>
        </w:rPr>
      </w:pPr>
      <w:r>
        <w:rPr>
          <w:rFonts w:ascii="Arial" w:hAnsi="Arial"/>
          <w:b/>
          <w:sz w:val="24"/>
          <w:u w:val="single"/>
        </w:rPr>
        <w:t>Beneficios de la aplicación del flúor diamino de plata:</w:t>
      </w:r>
    </w:p>
    <w:p>
      <w:pPr>
        <w:pStyle w:val="ListParagraph"/>
        <w:numPr>
          <w:ilvl w:val="0"/>
          <w:numId w:val="2"/>
        </w:numPr>
        <w:spacing w:lineRule="auto" w:line="240" w:before="0" w:after="120"/>
        <w:ind w:left="360" w:hanging="360"/>
        <w:rPr>
          <w:rFonts w:ascii="Arial" w:hAnsi="Arial" w:cs="Arial"/>
          <w:sz w:val="24"/>
          <w:szCs w:val="24"/>
        </w:rPr>
      </w:pPr>
      <w:r>
        <w:rPr>
          <w:rFonts w:ascii="Arial" w:hAnsi="Arial"/>
          <w:sz w:val="24"/>
        </w:rPr>
        <w:t xml:space="preserve">Puede contribuir a detener las caries. </w:t>
      </w:r>
    </w:p>
    <w:p>
      <w:pPr>
        <w:pStyle w:val="ListParagraph"/>
        <w:numPr>
          <w:ilvl w:val="0"/>
          <w:numId w:val="2"/>
        </w:numPr>
        <w:spacing w:lineRule="auto" w:line="240" w:before="0" w:after="240"/>
        <w:ind w:left="360" w:hanging="360"/>
        <w:rPr>
          <w:rFonts w:ascii="Arial" w:hAnsi="Arial" w:cs="Arial"/>
          <w:sz w:val="24"/>
          <w:szCs w:val="24"/>
        </w:rPr>
      </w:pPr>
      <w:r>
        <w:rPr>
          <w:rFonts w:ascii="Arial" w:hAnsi="Arial"/>
          <w:sz w:val="24"/>
        </w:rPr>
        <w:t xml:space="preserve">Puede ayudar a aliviar la sensibilidad. </w:t>
      </w:r>
      <w:r>
        <w:rPr/>
        <w:tab/>
        <w:tab/>
        <w:tab/>
        <w:tab/>
      </w:r>
      <w:r>
        <w:rPr>
          <w:rFonts w:ascii="Arial" w:hAnsi="Arial"/>
          <w:sz w:val="16"/>
        </w:rPr>
        <w:t xml:space="preserve">      Antes</w:t>
      </w:r>
      <w:r>
        <w:rPr/>
        <w:tab/>
        <w:t xml:space="preserve">            </w:t>
      </w:r>
      <w:r>
        <w:rPr>
          <w:rFonts w:ascii="Arial" w:hAnsi="Arial"/>
          <w:sz w:val="16"/>
        </w:rPr>
        <w:t xml:space="preserve">Después del </w:t>
      </w:r>
      <w:r>
        <w:rPr/>
        <w:t xml:space="preserve">    </w:t>
      </w:r>
      <w:r>
        <w:rPr>
          <w:rFonts w:ascii="Arial" w:hAnsi="Arial"/>
          <w:sz w:val="16"/>
        </w:rPr>
        <w:t>Resultado final</w:t>
        <w:br/>
        <w:tab/>
        <w:tab/>
        <w:tab/>
        <w:tab/>
        <w:tab/>
        <w:tab/>
        <w:tab/>
        <w:tab/>
        <w:tab/>
        <w:tab/>
        <w:tab/>
        <w:t xml:space="preserve">              tratamiento</w:t>
      </w:r>
    </w:p>
    <w:p>
      <w:pPr>
        <w:pStyle w:val="Normal"/>
        <w:spacing w:lineRule="auto" w:line="240" w:before="0" w:after="120"/>
        <w:rPr>
          <w:rFonts w:ascii="Arial" w:hAnsi="Arial" w:cs="Arial"/>
          <w:b/>
          <w:b/>
          <w:sz w:val="24"/>
          <w:szCs w:val="24"/>
          <w:u w:val="single"/>
        </w:rPr>
      </w:pPr>
      <w:r>
        <w:rPr>
          <w:rFonts w:ascii="Arial" w:hAnsi="Arial"/>
          <w:b/>
          <w:sz w:val="24"/>
          <w:u w:val="single"/>
        </w:rPr>
        <w:t>Los riesgos relacionados con este flúor incluyen, entre otros:</w:t>
      </w:r>
    </w:p>
    <w:p>
      <w:pPr>
        <w:pStyle w:val="ListParagraph"/>
        <w:numPr>
          <w:ilvl w:val="0"/>
          <w:numId w:val="2"/>
        </w:numPr>
        <w:spacing w:lineRule="auto" w:line="240" w:before="0" w:after="120"/>
        <w:ind w:left="360" w:hanging="360"/>
        <w:rPr>
          <w:rFonts w:ascii="Arial" w:hAnsi="Arial" w:cs="Arial"/>
          <w:sz w:val="24"/>
          <w:szCs w:val="24"/>
        </w:rPr>
      </w:pPr>
      <w:r>
        <w:rPr>
          <w:rFonts w:ascii="Arial" w:hAnsi="Arial"/>
          <w:b/>
          <w:sz w:val="24"/>
        </w:rPr>
        <w:t xml:space="preserve">La zona afectada puede presentar manchas oscuras permanentes. </w:t>
      </w:r>
      <w:r>
        <w:rPr>
          <w:rFonts w:ascii="Arial" w:hAnsi="Arial"/>
          <w:sz w:val="24"/>
        </w:rPr>
        <w:t xml:space="preserve">La estructura dental </w:t>
        <w:br/>
        <w:t xml:space="preserve">sana no se mancha. La estructura dental manchada se puede reemplazar con un empaste o </w:t>
        <w:br/>
        <w:t>una corona.</w:t>
      </w:r>
    </w:p>
    <w:p>
      <w:pPr>
        <w:pStyle w:val="ListParagraph"/>
        <w:numPr>
          <w:ilvl w:val="0"/>
          <w:numId w:val="2"/>
        </w:numPr>
        <w:spacing w:lineRule="auto" w:line="240" w:before="0" w:after="120"/>
        <w:ind w:left="360" w:hanging="360"/>
        <w:rPr>
          <w:rFonts w:ascii="Arial" w:hAnsi="Arial" w:cs="Arial"/>
          <w:sz w:val="24"/>
          <w:szCs w:val="24"/>
        </w:rPr>
      </w:pPr>
      <w:r>
        <w:rPr>
          <w:rFonts w:ascii="Arial" w:hAnsi="Arial"/>
          <w:sz w:val="24"/>
        </w:rPr>
        <w:t xml:space="preserve">Los empastes y coronas dentales del color del diente pueden teñirse si se les aplica este flúor. Los cambios de color en la superficie normalmente pueden pulirse. El borde entre el diente y </w:t>
        <w:br/>
        <w:t>el empaste puede mantener el color.</w:t>
      </w:r>
    </w:p>
    <w:p>
      <w:pPr>
        <w:pStyle w:val="ListParagraph"/>
        <w:numPr>
          <w:ilvl w:val="0"/>
          <w:numId w:val="3"/>
        </w:numPr>
        <w:spacing w:lineRule="auto" w:line="240" w:before="0" w:after="120"/>
        <w:ind w:left="360" w:hanging="360"/>
        <w:rPr>
          <w:rFonts w:ascii="Arial" w:hAnsi="Arial" w:cs="Arial"/>
          <w:sz w:val="24"/>
          <w:szCs w:val="24"/>
        </w:rPr>
      </w:pPr>
      <w:r>
        <w:rPr>
          <w:rFonts w:ascii="Arial" w:hAnsi="Arial"/>
          <w:sz w:val="24"/>
        </w:rPr>
        <w:t xml:space="preserve">Si se aplica accidentalmente este flúor en la piel o las encías, es posible que aparezca una mancha marrón o blanca que no causa daño, no se quita con agua pero desaparecerá en </w:t>
        <w:br/>
        <w:t>un lapso de 1 a 3 semanas.</w:t>
      </w:r>
    </w:p>
    <w:p>
      <w:pPr>
        <w:pStyle w:val="ListParagraph"/>
        <w:numPr>
          <w:ilvl w:val="0"/>
          <w:numId w:val="3"/>
        </w:numPr>
        <w:spacing w:lineRule="auto" w:line="240" w:before="0" w:after="120"/>
        <w:ind w:left="360" w:hanging="360"/>
        <w:rPr>
          <w:rFonts w:ascii="Arial" w:hAnsi="Arial" w:cs="Arial"/>
          <w:sz w:val="24"/>
          <w:szCs w:val="24"/>
        </w:rPr>
      </w:pPr>
      <w:r>
        <w:rPr>
          <w:rFonts w:ascii="Arial" w:hAnsi="Arial"/>
          <w:sz w:val="24"/>
        </w:rPr>
        <w:t>Es posible que sienta un sabor metálico que desaparecerá rápidamente.</w:t>
      </w:r>
    </w:p>
    <w:p>
      <w:pPr>
        <w:pStyle w:val="ListParagraph"/>
        <w:numPr>
          <w:ilvl w:val="0"/>
          <w:numId w:val="3"/>
        </w:numPr>
        <w:spacing w:lineRule="auto" w:line="240" w:before="0" w:after="120"/>
        <w:ind w:left="360" w:hanging="360"/>
        <w:rPr>
          <w:rFonts w:ascii="Arial" w:hAnsi="Arial" w:cs="Arial"/>
          <w:sz w:val="24"/>
          <w:szCs w:val="24"/>
        </w:rPr>
      </w:pPr>
      <w:r>
        <w:rPr>
          <w:rFonts w:ascii="Arial" w:hAnsi="Arial"/>
          <w:sz w:val="24"/>
        </w:rPr>
        <w:t>Si la caries no se detiene con un tratamiento, seguirá avanzando. En ese caso, el diente necesitará otro tratamiento, como repetir el flúor diamino de plata, un empaste o una corona, tratamiento de conducto o extracción.</w:t>
      </w:r>
    </w:p>
    <w:p>
      <w:pPr>
        <w:pStyle w:val="ListParagraph"/>
        <w:numPr>
          <w:ilvl w:val="0"/>
          <w:numId w:val="3"/>
        </w:numPr>
        <w:spacing w:lineRule="auto" w:line="240" w:before="0" w:after="120"/>
        <w:ind w:left="360" w:hanging="360"/>
        <w:rPr>
          <w:rFonts w:ascii="Arial" w:hAnsi="Arial" w:cs="Arial"/>
          <w:sz w:val="24"/>
          <w:szCs w:val="24"/>
        </w:rPr>
      </w:pPr>
      <w:r>
        <w:rPr>
          <w:rFonts w:ascii="Arial" w:hAnsi="Arial"/>
          <w:sz w:val="24"/>
        </w:rPr>
        <w:t>Es posible que estos efectos secundarios no incluyan todas las posibles situaciones informadas por el fabricante. Si observa otros efectos, comuníquese con su proveedor dental.</w:t>
      </w:r>
    </w:p>
    <w:p>
      <w:pPr>
        <w:pStyle w:val="ListParagraph"/>
        <w:numPr>
          <w:ilvl w:val="0"/>
          <w:numId w:val="3"/>
        </w:numPr>
        <w:spacing w:lineRule="auto" w:line="240" w:before="0" w:after="240"/>
        <w:ind w:left="360" w:hanging="360"/>
        <w:rPr>
          <w:rFonts w:ascii="Arial" w:hAnsi="Arial" w:cs="Arial"/>
          <w:sz w:val="24"/>
          <w:szCs w:val="24"/>
        </w:rPr>
      </w:pPr>
      <w:r>
        <w:rPr>
          <w:rFonts w:ascii="Arial" w:hAnsi="Arial"/>
          <w:sz w:val="24"/>
        </w:rPr>
        <w:t>Se realizarán todos los intentos razonables para asegurar un resultado satisfactorio del tratamiento con este flúor. Hay un riesgo de que el procedimiento no detenga la caries, por lo que no se concede ninguna garantía expresa o implícita con respecto al resultado.</w:t>
      </w:r>
    </w:p>
    <w:p>
      <w:pPr>
        <w:pStyle w:val="Normal"/>
        <w:spacing w:lineRule="auto" w:line="240" w:before="0" w:after="120"/>
        <w:rPr>
          <w:rFonts w:ascii="Arial" w:hAnsi="Arial" w:cs="Arial"/>
          <w:b/>
          <w:b/>
          <w:sz w:val="24"/>
          <w:szCs w:val="24"/>
          <w:u w:val="single"/>
        </w:rPr>
      </w:pPr>
      <w:r>
        <w:rPr>
          <w:rFonts w:ascii="Arial" w:hAnsi="Arial"/>
          <w:b/>
          <w:sz w:val="24"/>
          <w:u w:val="single"/>
        </w:rPr>
        <w:t>Alternativas al flúor diamino de plata. No se limitan a lo siguiente:</w:t>
      </w:r>
    </w:p>
    <w:p>
      <w:pPr>
        <w:pStyle w:val="ListParagraph"/>
        <w:numPr>
          <w:ilvl w:val="0"/>
          <w:numId w:val="4"/>
        </w:numPr>
        <w:spacing w:lineRule="auto" w:line="240" w:before="0" w:after="120"/>
        <w:ind w:left="360" w:hanging="360"/>
        <w:rPr>
          <w:rFonts w:ascii="Arial" w:hAnsi="Arial" w:cs="Arial"/>
          <w:sz w:val="24"/>
          <w:szCs w:val="24"/>
        </w:rPr>
      </w:pPr>
      <w:r>
        <w:rPr>
          <w:rFonts w:ascii="Arial" w:hAnsi="Arial"/>
          <w:sz w:val="24"/>
        </w:rPr>
        <w:t xml:space="preserve">Ningún tratamiento, lo cual puede llevar a un deterioro continuo de la estructura dentaria y </w:t>
        <w:br/>
        <w:t>la apariencia estética. Los síntomas pueden aumentar en gravedad.</w:t>
      </w:r>
    </w:p>
    <w:p>
      <w:pPr>
        <w:pStyle w:val="ListParagraph"/>
        <w:numPr>
          <w:ilvl w:val="0"/>
          <w:numId w:val="4"/>
        </w:numPr>
        <w:spacing w:lineRule="auto" w:line="240" w:before="0" w:after="240"/>
        <w:ind w:left="360" w:hanging="360"/>
        <w:rPr>
          <w:rFonts w:ascii="Arial" w:hAnsi="Arial" w:cs="Arial"/>
          <w:sz w:val="24"/>
          <w:szCs w:val="24"/>
        </w:rPr>
      </w:pPr>
      <w:r>
        <w:rPr>
          <w:rFonts w:ascii="Arial" w:hAnsi="Arial"/>
          <w:sz w:val="24"/>
        </w:rPr>
        <w:t>Según la ubicación y la profundidad de la caries, el tratamiento alternativo puede incluir la aplicación de barniz de flúor, un empaste o una corona, la extracción del diente o una derivación a modalidades de tratamiento avanzado.</w:t>
      </w:r>
    </w:p>
    <w:p>
      <w:pPr>
        <w:pStyle w:val="Normal"/>
        <w:pBdr>
          <w:bottom w:val="single" w:sz="12" w:space="1" w:color="00000A"/>
        </w:pBdr>
        <w:spacing w:lineRule="auto" w:line="240" w:before="0" w:after="120"/>
        <w:rPr>
          <w:rFonts w:ascii="Arial" w:hAnsi="Arial" w:cs="Arial"/>
          <w:b/>
          <w:b/>
          <w:sz w:val="24"/>
          <w:szCs w:val="24"/>
        </w:rPr>
      </w:pPr>
      <w:r>
        <w:rPr>
          <w:rFonts w:ascii="Arial" w:hAnsi="Arial"/>
          <w:b/>
          <w:sz w:val="24"/>
        </w:rPr>
        <w:t xml:space="preserve">CERTIFICO QUE HE LEÍDO Y COMPRENDO PERFECTAMENTE ESTE DOCUMENTO Y </w:t>
        <w:br/>
        <w:t>QUE TODAS MIS PREGUNTAS FUERON RESPONDIDAS:</w:t>
      </w:r>
    </w:p>
    <w:p>
      <w:pPr>
        <w:pStyle w:val="Normal"/>
        <w:spacing w:lineRule="auto" w:line="240" w:before="0" w:after="120"/>
        <w:rPr>
          <w:rFonts w:ascii="Arial" w:hAnsi="Arial" w:cs="Arial"/>
          <w:b/>
          <w:b/>
          <w:sz w:val="24"/>
          <w:szCs w:val="24"/>
        </w:rPr>
      </w:pPr>
      <w:r>
        <w:rPr>
          <w:rFonts w:cs="Arial" w:ascii="Arial" w:hAnsi="Arial"/>
          <w:b/>
          <w:sz w:val="24"/>
          <w:szCs w:val="24"/>
        </w:rPr>
      </w:r>
    </w:p>
    <w:p>
      <w:pPr>
        <w:pStyle w:val="Normal"/>
        <w:spacing w:lineRule="auto" w:line="240" w:before="0" w:after="120"/>
        <w:rPr>
          <w:rFonts w:ascii="Arial" w:hAnsi="Arial" w:cs="Arial"/>
          <w:sz w:val="24"/>
          <w:szCs w:val="24"/>
        </w:rPr>
      </w:pPr>
      <w:r>
        <w:rPr>
          <w:rFonts w:ascii="Arial" w:hAnsi="Arial"/>
          <w:b/>
          <w:sz w:val="24"/>
        </w:rPr>
        <w:t>________________________________</w:t>
      </w:r>
      <w:r>
        <w:rPr>
          <w:rFonts w:ascii="Arial" w:hAnsi="Arial"/>
          <w:sz w:val="24"/>
        </w:rPr>
        <w:t>(firma del paciente)</w:t>
      </w:r>
      <w:r>
        <w:rPr/>
        <w:tab/>
        <w:tab/>
      </w:r>
      <w:r>
        <w:rPr>
          <w:rFonts w:ascii="Arial" w:hAnsi="Arial"/>
          <w:sz w:val="24"/>
        </w:rPr>
        <w:t>___________________(fecha)</w:t>
      </w:r>
    </w:p>
    <w:p>
      <w:pPr>
        <w:pStyle w:val="Normal"/>
        <w:spacing w:lineRule="auto" w:line="240" w:before="0" w:after="120"/>
        <w:rPr/>
      </w:pPr>
      <w:r>
        <w:rPr>
          <w:rFonts w:ascii="Arial" w:hAnsi="Arial"/>
          <w:sz w:val="24"/>
        </w:rPr>
        <w:t>________________________________(firma del testigo)</w:t>
      </w:r>
      <w:r>
        <w:rPr/>
        <w:tab/>
        <w:tab/>
      </w:r>
      <w:bookmarkStart w:id="0" w:name="_GoBack"/>
      <w:bookmarkEnd w:id="0"/>
      <w:r>
        <w:rPr>
          <w:rFonts w:ascii="Arial" w:hAnsi="Arial"/>
          <w:sz w:val="24"/>
        </w:rPr>
        <w:t xml:space="preserve">___________________(fecha) </w:t>
      </w:r>
    </w:p>
    <w:sect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abstractNum w:abstractNumId="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ordia New" w:asciiTheme="minorHAnsi" w:cstheme="minorBidi" w:eastAsiaTheme="minorHAnsi" w:hAnsiTheme="minorHAnsi"/>
        <w:sz w:val="22"/>
        <w:szCs w:val="22"/>
        <w:lang w:val="es-US" w:eastAsia="es-US" w:bidi="es-US"/>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ordia New" w:asciiTheme="minorHAnsi" w:cstheme="minorBidi" w:eastAsiaTheme="minorHAnsi" w:hAnsiTheme="minorHAnsi"/>
      <w:color w:val="auto"/>
      <w:sz w:val="22"/>
      <w:szCs w:val="22"/>
      <w:lang w:val="es-US" w:eastAsia="es-US" w:bidi="es-US"/>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33c4e"/>
    <w:rPr>
      <w:rFonts w:ascii="Lucida Grande" w:hAnsi="Lucida Grande" w:eastAsia="ＭＳ 明朝" w:cs="Lucida Grande" w:eastAsiaTheme="minorEastAsia"/>
      <w:sz w:val="18"/>
      <w:szCs w:val="18"/>
    </w:rPr>
  </w:style>
  <w:style w:type="character" w:styleId="ListLabel1">
    <w:name w:val="ListLabel 1"/>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233c4e"/>
    <w:pPr>
      <w:spacing w:before="0" w:after="200"/>
      <w:ind w:left="720" w:hanging="0"/>
      <w:contextualSpacing/>
    </w:pPr>
    <w:rPr/>
  </w:style>
  <w:style w:type="paragraph" w:styleId="BalloonText">
    <w:name w:val="Balloon Text"/>
    <w:basedOn w:val="Normal"/>
    <w:link w:val="BalloonTextChar"/>
    <w:uiPriority w:val="99"/>
    <w:semiHidden/>
    <w:unhideWhenUsed/>
    <w:qFormat/>
    <w:rsid w:val="00233c4e"/>
    <w:pPr>
      <w:spacing w:lineRule="auto" w:line="240" w:before="0" w:after="0"/>
    </w:pPr>
    <w:rPr>
      <w:rFonts w:ascii="Lucida Grande" w:hAnsi="Lucida Grande" w:eastAsia="ＭＳ 明朝" w:cs="Lucida Grande" w:eastAsiaTheme="minorEastAsia"/>
      <w:sz w:val="18"/>
      <w:szCs w:val="18"/>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4C9F-BE79-49F9-9934-5124958E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LibreOffice/4.4.4.3$Windows_x86 LibreOffice_project/2c39ebcf046445232b798108aa8a7e7d89552ea8</Application>
  <Paragraphs>23</Paragraphs>
  <Company>UCSF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2015-08-24T19:47:00Z</dcterms:created>
  <dc:creator>Roykh, Biana</dc:creator>
  <dc:language>en-US</dc:language>
  <cp:lastModifiedBy>Jean Chiang</cp:lastModifiedBy>
  <cp:lastPrinted>2015-05-26T18:23:00Z</cp:lastPrinted>
  <dcterms:modified xsi:type="dcterms:W3CDTF">2015-09-24T16:19:00Z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UCSF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